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r>
        <w:rPr>
          <w:sz w:val="36"/>
          <w:szCs w:val="36"/>
          <w:rtl w:val="0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-291465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17.3pt;margin-top:-23.0pt;width:49.5pt;height:22.4pt;z-index:251659264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2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3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复旦大学拟购大型仪器设备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562"/>
        <w:jc w:val="center"/>
        <w:rPr>
          <w:rFonts w:ascii="宋体" w:cs="宋体" w:hAnsi="宋体" w:eastAsia="宋体"/>
          <w:sz w:val="28"/>
          <w:szCs w:val="28"/>
        </w:rPr>
      </w:pPr>
      <w:bookmarkStart w:name="大型仪器设备论证报告" w:id="0"/>
      <w:r>
        <w:rPr>
          <w:rFonts w:eastAsia="宋体" w:hint="eastAsia"/>
          <w:sz w:val="28"/>
          <w:szCs w:val="28"/>
          <w:rtl w:val="0"/>
          <w:lang w:val="zh-TW" w:eastAsia="zh-TW"/>
        </w:rPr>
        <w:t>论证报告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</w:t>
      </w:r>
      <w:r>
        <w:rPr>
          <w:rFonts w:ascii="宋体"/>
          <w:sz w:val="18"/>
          <w:szCs w:val="18"/>
          <w:rtl w:val="0"/>
          <w:lang w:val="en-US"/>
        </w:rPr>
        <w:t>:3</w:t>
      </w:r>
      <w:r>
        <w:rPr>
          <w:rFonts w:hAnsi="宋体" w:hint="default"/>
          <w:sz w:val="18"/>
          <w:szCs w:val="18"/>
          <w:rtl w:val="0"/>
          <w:lang w:val="en-US"/>
        </w:rPr>
        <w:t>≤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单价＜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</w:t>
      </w:r>
      <w:r>
        <w:rPr>
          <w:rFonts w:ascii="宋体"/>
          <w:sz w:val="18"/>
          <w:szCs w:val="18"/>
          <w:rtl w:val="0"/>
          <w:lang w:val="en-US"/>
        </w:rPr>
        <w:t>:20</w:t>
      </w:r>
      <w:r>
        <w:rPr>
          <w:rFonts w:hAnsi="宋体" w:hint="default"/>
          <w:sz w:val="18"/>
          <w:szCs w:val="18"/>
          <w:rtl w:val="0"/>
          <w:lang w:val="en-US"/>
        </w:rPr>
        <w:t>≤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单价＜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仿宋" w:cs="仿宋" w:hAnsi="仿宋" w:eastAsia="仿宋"/>
          <w:b w:val="1"/>
          <w:bCs w:val="1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2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076"/>
        <w:gridCol w:w="6446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1884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二、项目概况及购置该仪器设备对项目的作用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309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三、同类仪器设备在校内、国内或国际上的分布与使用情况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3309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四、选型的科学依据（主要技术指标及功能的先进性及实用性；所选设备不同生产厂家在性价比、售后服务等方面的比较）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03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五、拟购仪器设备需要的基础条件落实情况（如房屋场地、网络、燃气等）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17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六、拟购仪器设备所需技术人员配备情况</w:t>
            </w:r>
          </w:p>
          <w:p>
            <w:pPr>
              <w:pStyle w:val="Body Text 2"/>
              <w:spacing w:line="276" w:lineRule="auto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姓名</w:t>
              <w:tab/>
              <w:t>职称</w:t>
              <w:tab/>
              <w:t>学历</w:t>
              <w:tab/>
              <w:t>经历</w:t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</w:tc>
      </w:tr>
      <w:tr>
        <w:tblPrEx>
          <w:shd w:val="clear" w:color="auto" w:fill="auto"/>
        </w:tblPrEx>
        <w:trPr>
          <w:trHeight w:val="2047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七、设备运行（房屋、水、电、气体及维修支出等）保障情况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八、预期使用效益（年度机时利用率、人员培养等）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九、拟购仪器设备共享计划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十、招投标计划与建议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仿宋" w:cs="仿宋" w:hAnsi="仿宋" w:eastAsia="仿宋"/>
          <w:b w:val="1"/>
          <w:bCs w:val="1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</w:pPr>
      <w:r>
        <w:rPr>
          <w:rFonts w:ascii="华文楷体" w:cs="华文楷体" w:hAnsi="华文楷体" w:eastAsia="华文楷体"/>
          <w:sz w:val="36"/>
          <w:szCs w:val="36"/>
          <w:rtl w:val="0"/>
        </w:rPr>
        <w:br w:type="page"/>
      </w:r>
    </w:p>
    <w:p>
      <w:pPr>
        <w:pStyle w:val="Normal"/>
        <w:rPr>
          <w:rFonts w:ascii="华文楷体" w:cs="华文楷体" w:hAnsi="华文楷体" w:eastAsia="华文楷体"/>
          <w:sz w:val="36"/>
          <w:szCs w:val="36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ascii="宋体" w:cs="宋体" w:hAnsi="宋体" w:eastAsia="宋体"/>
          <w:sz w:val="28"/>
          <w:szCs w:val="28"/>
          <w:rtl w:val="0"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-291465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30" name="Shape 1073741830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-17.3pt;margin-top:-23.0pt;width:49.5pt;height:22.4pt;z-index:251660288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32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3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4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35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2"/>
          <w:szCs w:val="32"/>
          <w:rtl w:val="0"/>
          <w:lang w:val="zh-TW" w:eastAsia="zh-TW"/>
        </w:rPr>
      </w:pPr>
      <w:bookmarkStart w:name="科学性论证报告" w:id="1"/>
      <w:r>
        <w:rPr>
          <w:rFonts w:eastAsia="宋体" w:hint="eastAsia"/>
          <w:b w:val="0"/>
          <w:bCs w:val="0"/>
          <w:sz w:val="32"/>
          <w:szCs w:val="32"/>
          <w:rtl w:val="0"/>
          <w:lang w:val="zh-TW" w:eastAsia="zh-TW"/>
        </w:rPr>
        <w:t>科学性论证报告</w:t>
      </w:r>
      <w:bookmarkEnd w:id="1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仿宋" w:cs="仿宋" w:hAnsi="仿宋" w:eastAsia="仿宋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2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076"/>
        <w:gridCol w:w="6446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274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二、项目概况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93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三、购置理由（拟购仪器设备的必要性、迫切性与可行性）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217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四、同类仪器在校内、国内或国际上的分布与使用情况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4083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五、选型的科学依据（主要技术指标及功能的先进性及实用性；所选设备不同生产厂家在性价比、售后服务等方面的比较）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209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六、拟购仪器设备所需基础条件落实情况（如房屋场地、水、电、燃气、网络等）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95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七、预期使用效益（年机时利用率、人员培养、可能产生的成果等）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725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八、招投标计划与建议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仿宋" w:cs="仿宋" w:hAnsi="仿宋" w:eastAsia="仿宋"/>
          <w:sz w:val="28"/>
          <w:szCs w:val="28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sectPr>
          <w:headerReference w:type="default" r:id="rId4"/>
          <w:footerReference w:type="default" r:id="rId5"/>
          <w:pgSz w:w="11906" w:h="16838" w:orient="portrait"/>
          <w:pgMar w:top="1298" w:right="1586" w:bottom="1134" w:left="1494" w:header="709" w:footer="850"/>
          <w:bidi w:val="0"/>
        </w:sectPr>
      </w:pPr>
      <w:r>
        <w:rPr>
          <w:rFonts w:ascii="宋体" w:cs="宋体" w:hAnsi="宋体" w:eastAsia="宋体"/>
          <w:sz w:val="24"/>
          <w:szCs w:val="24"/>
        </w:rPr>
        <w:br w:type="page"/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rtl w:val="0"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-271145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35" name="Shape 107374183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6" name="Shape 107374183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Shape 107374183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-17.3pt;margin-top:-21.4pt;width:49.5pt;height:22.4pt;z-index:251661312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3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4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bookmarkStart w:name="共享性论证报告" w:id="2"/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共享性论证报告</w:t>
      </w:r>
      <w:bookmarkEnd w:id="2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85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125"/>
        <w:gridCol w:w="6460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12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1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2752" w:hRule="atLeast"/>
        </w:trPr>
        <w:tc>
          <w:tcPr>
            <w:tcW w:type="dxa" w:w="85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二、技术人员现状</w:t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姓名</w:t>
              <w:tab/>
              <w:t>职称</w:t>
              <w:tab/>
              <w:t>学历</w:t>
              <w:tab/>
              <w:t>经历（操作证书）</w:t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</w:tc>
      </w:tr>
      <w:tr>
        <w:tblPrEx>
          <w:shd w:val="clear" w:color="auto" w:fill="auto"/>
        </w:tblPrEx>
        <w:trPr>
          <w:trHeight w:val="1541" w:hRule="atLeast"/>
        </w:trPr>
        <w:tc>
          <w:tcPr>
            <w:tcW w:type="dxa" w:w="85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三、实验室共享条件落实情况（必要的场地、网络环境，健全的管理制度等）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664" w:hRule="atLeast"/>
        </w:trPr>
        <w:tc>
          <w:tcPr>
            <w:tcW w:type="dxa" w:w="85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四、共享服务计划（参加学校、上海市、国家共享网络平台）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734" w:hRule="atLeast"/>
        </w:trPr>
        <w:tc>
          <w:tcPr>
            <w:tcW w:type="dxa" w:w="858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五、年度预期设备使用情况（可服务机时数、项目内部占用机时数、可以提供对外共享服务机时数）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sectPr>
          <w:headerReference w:type="default" r:id="rId6"/>
          <w:footerReference w:type="default" r:id="rId7"/>
          <w:type w:val="continuous"/>
          <w:pgSz w:w="11906" w:h="16838" w:orient="portrait"/>
          <w:pgMar w:top="1298" w:right="1828" w:bottom="2006" w:left="1494" w:header="709" w:footer="850"/>
          <w:bidi w:val="0"/>
        </w:sect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</w:t>
      </w:r>
      <w:r>
        <w:rPr>
          <w:rFonts w:ascii="宋体"/>
          <w:sz w:val="24"/>
          <w:szCs w:val="24"/>
          <w:rtl w:val="0"/>
          <w:lang w:val="en-US"/>
        </w:rPr>
        <w:t xml:space="preserve">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  <w:br w:type="page"/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32"/>
          <w:szCs w:val="32"/>
        </w:rPr>
      </w:pPr>
      <w:bookmarkStart w:name="预算及运行论证报告" w:id="3"/>
      <w:r>
        <w:rPr>
          <w:rFonts w:eastAsia="宋体" w:hint="eastAsia"/>
          <w:b w:val="0"/>
          <w:bCs w:val="0"/>
          <w:sz w:val="32"/>
          <w:szCs w:val="32"/>
          <w:rtl w:val="0"/>
          <w:lang w:val="zh-TW" w:eastAsia="zh-TW"/>
        </w:rPr>
        <w:t>预算及运行成本论证报告</w:t>
      </w:r>
      <w:bookmarkEnd w:id="3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 xml:space="preserve"> 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rPr>
          <w:rFonts w:ascii="仿宋" w:cs="仿宋" w:hAnsi="仿宋" w:eastAsia="仿宋"/>
          <w:b w:val="1"/>
          <w:bCs w:val="1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</w:rPr>
        <mc:AlternateContent>
          <mc:Choice Requires="wpg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-1205864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2" name="Shape 1073741842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3" name="Shape 1073741843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-17.3pt;margin-top:-94.9pt;width:49.5pt;height:22.4pt;z-index:251662336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42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43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44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45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 xml:space="preserve">拟购设备序号 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 xml:space="preserve">其它                                </w:t>
      </w:r>
    </w:p>
    <w:tbl>
      <w:tblPr>
        <w:tblW w:w="852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522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8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</w:p>
        </w:tc>
      </w:tr>
      <w:tr>
        <w:tblPrEx>
          <w:shd w:val="clear" w:color="auto" w:fill="auto"/>
        </w:tblPrEx>
        <w:trPr>
          <w:trHeight w:val="2099" w:hRule="atLeast"/>
        </w:trPr>
        <w:tc>
          <w:tcPr>
            <w:tcW w:type="dxa" w:w="8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360" w:lineRule="auto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二、购置预算金额调研情况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</w:p>
          <w:p>
            <w:pPr>
              <w:pStyle w:val="Normal"/>
              <w:spacing w:line="276" w:lineRule="auto"/>
              <w:jc w:val="center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厂家</w:t>
              <w:tab/>
              <w:t>型号</w:t>
              <w:tab/>
              <w:t>规格</w:t>
              <w:tab/>
              <w:t>预期金额</w:t>
            </w:r>
          </w:p>
          <w:p>
            <w:pPr>
              <w:pStyle w:val="Normal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参考一</w:t>
              <w:tab/>
              <w:tab/>
              <w:tab/>
              <w:tab/>
            </w:r>
          </w:p>
          <w:p>
            <w:pPr>
              <w:pStyle w:val="Normal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参考二</w:t>
              <w:tab/>
              <w:tab/>
              <w:tab/>
              <w:tab/>
            </w:r>
          </w:p>
          <w:p>
            <w:pPr>
              <w:pStyle w:val="Normal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参考三</w:t>
              <w:tab/>
              <w:tab/>
              <w:tab/>
              <w:tab/>
            </w:r>
          </w:p>
        </w:tc>
      </w:tr>
      <w:tr>
        <w:tblPrEx>
          <w:shd w:val="clear" w:color="auto" w:fill="auto"/>
        </w:tblPrEx>
        <w:trPr>
          <w:trHeight w:val="4403" w:hRule="atLeast"/>
        </w:trPr>
        <w:tc>
          <w:tcPr>
            <w:tcW w:type="dxa" w:w="8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spacing w:line="360" w:lineRule="auto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三、运行成本年度概算（按年度预算水、电、燃气、耗材等的运行消耗费用，折旧费，三废处理与场地占用费等）</w:t>
            </w:r>
          </w:p>
          <w:p>
            <w:pPr>
              <w:pStyle w:val="Body Text 2"/>
              <w:spacing w:line="276" w:lineRule="auto"/>
              <w:ind w:firstLine="422"/>
              <w:jc w:val="center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项目</w:t>
              <w:tab/>
              <w:t>费率</w:t>
              <w:tab/>
              <w:t>年用量</w:t>
              <w:tab/>
              <w:t>小计（元）</w:t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水费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元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立方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立方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电费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元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度</w:t>
              <w:tab/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度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燃气费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元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立方</w:t>
              <w:tab/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立方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消耗材料气体费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单价</w:t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折旧费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年折旧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%</w:t>
              <w:tab/>
              <w:t xml:space="preserve">       -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三废处理费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估算</w:t>
              <w:tab/>
              <w:t>估算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场地占用费</w:t>
              <w:tab/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元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平方</w:t>
              <w:tab/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平方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其它支出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估算</w:t>
              <w:tab/>
              <w:t>估算</w:t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合计（元）</w:t>
              <w:tab/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-</w:t>
              <w:tab/>
              <w:t xml:space="preserve">      -</w:t>
              <w:tab/>
            </w:r>
          </w:p>
        </w:tc>
      </w:tr>
      <w:tr>
        <w:tblPrEx>
          <w:shd w:val="clear" w:color="auto" w:fill="auto"/>
        </w:tblPrEx>
        <w:trPr>
          <w:trHeight w:val="2099" w:hRule="atLeast"/>
        </w:trPr>
        <w:tc>
          <w:tcPr>
            <w:tcW w:type="dxa" w:w="8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spacing w:line="360" w:lineRule="auto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四、预期对外服务收入（合理的机时成本收费范围）</w:t>
            </w:r>
          </w:p>
          <w:p>
            <w:pPr>
              <w:pStyle w:val="Body Text 2"/>
              <w:spacing w:line="276" w:lineRule="auto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机时或样品收费标准</w:t>
              <w:tab/>
              <w:t>年对外服务量</w:t>
              <w:tab/>
              <w:t>年收入（元）</w:t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方案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</w:t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方案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</w:t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方案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</w:t>
              <w:tab/>
              <w:tab/>
              <w:tab/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sectPr>
          <w:headerReference w:type="default" r:id="rId8"/>
          <w:footerReference w:type="default" r:id="rId9"/>
          <w:type w:val="continuous"/>
          <w:pgSz w:w="11906" w:h="16838" w:orient="portrait"/>
          <w:pgMar w:top="1298" w:right="1828" w:bottom="1275" w:left="1494" w:header="709" w:footer="850"/>
          <w:bidi w:val="0"/>
        </w:sectPr>
      </w:pPr>
      <w:r>
        <w:rPr>
          <w:rFonts w:ascii="宋体" w:cs="宋体" w:hAnsi="宋体" w:eastAsia="宋体"/>
          <w:sz w:val="24"/>
          <w:szCs w:val="24"/>
        </w:rPr>
        <w:br w:type="page"/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562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ascii="宋体" w:cs="宋体" w:hAnsi="宋体" w:eastAsia="宋体"/>
          <w:sz w:val="28"/>
          <w:szCs w:val="28"/>
          <w:rtl w:val="0"/>
        </w:rP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-291465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45" name="Shape 107374184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6" name="Shape 107374184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7" name="Shape 107374184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8" name="Shape 107374184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6" style="visibility:visible;position:absolute;margin-left:-17.3pt;margin-top:-23.0pt;width:49.5pt;height:22.4pt;z-index:251663360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4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4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4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5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bookmarkStart w:name="专家论证意见表" w:id="4"/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专家论证意见表</w:t>
      </w:r>
      <w:bookmarkEnd w:id="4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仿宋" w:cs="仿宋" w:hAnsi="仿宋" w:eastAsia="仿宋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915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39"/>
        <w:gridCol w:w="1330"/>
        <w:gridCol w:w="2529"/>
        <w:gridCol w:w="1640"/>
        <w:gridCol w:w="1977"/>
      </w:tblGrid>
      <w:tr>
        <w:tblPrEx>
          <w:shd w:val="clear" w:color="auto" w:fill="auto"/>
        </w:tblPrEx>
        <w:trPr>
          <w:trHeight w:val="466" w:hRule="atLeast"/>
        </w:trPr>
        <w:tc>
          <w:tcPr>
            <w:tcW w:type="dxa" w:w="276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一、拟购仪器设备名称</w:t>
            </w:r>
          </w:p>
        </w:tc>
        <w:tc>
          <w:tcPr>
            <w:tcW w:type="dxa" w:w="61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1" w:hRule="atLeast"/>
        </w:trPr>
        <w:tc>
          <w:tcPr>
            <w:tcW w:type="dxa" w:w="891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二、科学性论证意见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</w:pP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3551" w:hRule="atLeast"/>
        </w:trPr>
        <w:tc>
          <w:tcPr>
            <w:tcW w:type="dxa" w:w="891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三、共享性论证意见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</w:pP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3415" w:hRule="atLeast"/>
        </w:trPr>
        <w:tc>
          <w:tcPr>
            <w:tcW w:type="dxa" w:w="891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四、预算及运行成本论证意见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</w:pP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945" w:hRule="atLeast"/>
        </w:trPr>
        <w:tc>
          <w:tcPr>
            <w:tcW w:type="dxa" w:w="891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五、结论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480" w:lineRule="exact"/>
            </w:pP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891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六、专家签名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标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★</w:t>
            </w: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号者为专家组组长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）</w:t>
            </w:r>
          </w:p>
        </w:tc>
      </w:tr>
      <w:tr>
        <w:tblPrEx>
          <w:shd w:val="clear" w:color="auto" w:fill="auto"/>
        </w:tblPrEx>
        <w:trPr>
          <w:trHeight w:val="528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auto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姓 名</w:t>
            </w:r>
          </w:p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</w:tabs>
              <w:spacing w:line="480" w:lineRule="auto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单 位</w:t>
            </w:r>
          </w:p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auto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职 称</w:t>
            </w:r>
          </w:p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auto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签 名</w:t>
            </w:r>
          </w:p>
        </w:tc>
      </w:tr>
      <w:tr>
        <w:tblPrEx>
          <w:shd w:val="clear" w:color="auto" w:fill="auto"/>
        </w:tblPrEx>
        <w:trPr>
          <w:trHeight w:val="289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1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仿宋" w:cs="仿宋" w:hAnsi="仿宋" w:eastAsia="仿宋"/>
          <w:sz w:val="28"/>
          <w:szCs w:val="28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5040"/>
        <w:rPr>
          <w:rFonts w:ascii="宋体" w:cs="宋体" w:hAnsi="宋体" w:eastAsia="宋体"/>
          <w:sz w:val="28"/>
          <w:szCs w:val="28"/>
        </w:rPr>
      </w:pPr>
      <w:r>
        <w:rPr>
          <w:rFonts w:ascii="仿宋" w:cs="仿宋" w:hAnsi="仿宋" w:eastAsia="仿宋"/>
          <w:sz w:val="28"/>
          <w:szCs w:val="28"/>
          <w:rtl w:val="0"/>
          <w:lang w:val="en-US"/>
        </w:rPr>
        <w:t xml:space="preserve">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论证日期</w:t>
      </w:r>
      <w:r>
        <w:rPr>
          <w:rFonts w:eastAsia="宋体" w:hint="eastAsia"/>
          <w:sz w:val="28"/>
          <w:szCs w:val="28"/>
          <w:rtl w:val="0"/>
          <w:lang w:val="zh-TW" w:eastAsia="zh-TW"/>
        </w:rPr>
        <w:t xml:space="preserve">： </w:t>
      </w:r>
    </w:p>
    <w:p>
      <w:pPr>
        <w:pStyle w:val="Normal"/>
      </w:pPr>
      <w:r>
        <w:rPr>
          <w:rFonts w:ascii="仿宋" w:cs="仿宋" w:hAnsi="仿宋" w:eastAsia="仿宋"/>
          <w:sz w:val="28"/>
          <w:szCs w:val="28"/>
          <w:rtl w:val="0"/>
        </w:rPr>
        <w:br w:type="page"/>
      </w:r>
    </w:p>
    <w:p>
      <w:pPr>
        <w:pStyle w:val="Normal"/>
        <w:rPr>
          <w:rFonts w:ascii="仿宋" w:cs="仿宋" w:hAnsi="仿宋" w:eastAsia="仿宋"/>
          <w:b w:val="1"/>
          <w:bCs w:val="1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zh-TW" w:eastAsia="zh-TW"/>
        </w:rPr>
        <w:t>【注意事项</w:t>
      </w:r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en-US"/>
        </w:rPr>
        <w:t>:</w:t>
      </w:r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zh-TW" w:eastAsia="zh-TW"/>
        </w:rPr>
        <w:t>】</w:t>
      </w:r>
    </w:p>
    <w:p>
      <w:pPr>
        <w:pStyle w:val="Normal"/>
        <w:numPr>
          <w:ilvl w:val="0"/>
          <w:numId w:val="3"/>
        </w:numPr>
        <w:tabs>
          <w:tab w:val="num" w:pos="930"/>
          <w:tab w:val="left" w:pos="105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30" w:right="0" w:hanging="840"/>
        <w:jc w:val="left"/>
        <w:rPr>
          <w:b w:val="1"/>
          <w:bCs w:val="1"/>
          <w:position w:val="0"/>
          <w:sz w:val="24"/>
          <w:szCs w:val="24"/>
          <w:rtl w:val="0"/>
        </w:rPr>
      </w:pP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购置预算金额在人民币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10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万美元（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70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万元人民币）及以上的大型仪器设备，在召开专家论证会之前，申购单位必须准备好可行性论证材料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:</w:t>
      </w:r>
    </w:p>
    <w:p>
      <w:pPr>
        <w:pStyle w:val="List Paragraph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left="1050" w:firstLine="0"/>
        <w:rPr>
          <w:b w:val="1"/>
          <w:bCs w:val="1"/>
          <w:sz w:val="24"/>
          <w:szCs w:val="24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《复旦大学拟购大型仪器设备</w:t>
      </w:r>
      <w:r>
        <w:rPr>
          <w:rFonts w:eastAsia="宋体" w:hint="eastAsia"/>
          <w:sz w:val="24"/>
          <w:szCs w:val="24"/>
          <w:u w:val="thick"/>
          <w:rtl w:val="0"/>
          <w:lang w:val="zh-TW" w:eastAsia="zh-TW"/>
        </w:rPr>
        <w:t>科学性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论证报告》、《复旦大学拟购大型仪器设备</w:t>
      </w:r>
      <w:r>
        <w:rPr>
          <w:rFonts w:eastAsia="宋体" w:hint="eastAsia"/>
          <w:sz w:val="24"/>
          <w:szCs w:val="24"/>
          <w:u w:val="thick"/>
          <w:rtl w:val="0"/>
          <w:lang w:val="zh-TW" w:eastAsia="zh-TW"/>
        </w:rPr>
        <w:t>共享性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论证报告》和《复旦大学拟购大型仪器设备</w:t>
      </w:r>
      <w:r>
        <w:rPr>
          <w:rFonts w:eastAsia="宋体" w:hint="eastAsia"/>
          <w:sz w:val="24"/>
          <w:szCs w:val="24"/>
          <w:u w:val="thick"/>
          <w:rtl w:val="0"/>
          <w:lang w:val="zh-TW" w:eastAsia="zh-TW"/>
        </w:rPr>
        <w:t>预算及运行成本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论证报告》，提交产管理处审核同意后方可召开专家论证会。论证报告供论证会专家使用，并且归入学校档案。</w:t>
      </w:r>
    </w:p>
    <w:p>
      <w:pPr>
        <w:pStyle w:val="Normal"/>
        <w:numPr>
          <w:ilvl w:val="0"/>
          <w:numId w:val="3"/>
        </w:numPr>
        <w:tabs>
          <w:tab w:val="num" w:pos="930"/>
          <w:tab w:val="left" w:pos="105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30" w:right="0" w:hanging="840"/>
        <w:jc w:val="left"/>
        <w:rPr>
          <w:b w:val="1"/>
          <w:bCs w:val="1"/>
          <w:position w:val="0"/>
          <w:sz w:val="24"/>
          <w:szCs w:val="24"/>
          <w:rtl w:val="0"/>
        </w:rPr>
      </w:pP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专家论证会由项目所在院系负责组织。资产管理处派人出席论证会。</w:t>
      </w:r>
    </w:p>
    <w:p>
      <w:pPr>
        <w:pStyle w:val="Normal"/>
        <w:numPr>
          <w:ilvl w:val="0"/>
          <w:numId w:val="3"/>
        </w:numPr>
        <w:tabs>
          <w:tab w:val="num" w:pos="930"/>
          <w:tab w:val="left" w:pos="105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30" w:right="0" w:hanging="840"/>
        <w:jc w:val="left"/>
        <w:rPr>
          <w:b w:val="1"/>
          <w:bCs w:val="1"/>
          <w:position w:val="0"/>
          <w:sz w:val="24"/>
          <w:szCs w:val="24"/>
          <w:rtl w:val="0"/>
        </w:rPr>
      </w:pP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论证会专家组成员的遴选。申购单位可以根据自己掌握的情况，推荐在该领域有影响的具有副高以上职称的科研、技术或管理专家，供资产管理处遴选。专家组成员最终由申购单位与资产管理处协商确定。建议更多地邀请校外、院系外的知名专家参加论证会。</w:t>
      </w:r>
    </w:p>
    <w:p>
      <w:pPr>
        <w:pStyle w:val="Normal"/>
        <w:numPr>
          <w:ilvl w:val="0"/>
          <w:numId w:val="3"/>
        </w:numPr>
        <w:tabs>
          <w:tab w:val="num" w:pos="930"/>
          <w:tab w:val="left" w:pos="105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30" w:right="0" w:hanging="840"/>
        <w:jc w:val="left"/>
        <w:rPr>
          <w:b w:val="1"/>
          <w:bCs w:val="1"/>
          <w:position w:val="0"/>
          <w:sz w:val="24"/>
          <w:szCs w:val="24"/>
          <w:rtl w:val="0"/>
        </w:rPr>
      </w:pP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10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万美元（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70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万元人民币）及以上的大型仪器设备，专家数不少于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7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人，其中校外专家不少于</w:t>
      </w:r>
      <w:r>
        <w:rPr>
          <w:rFonts w:ascii="Calibri"/>
          <w:b w:val="1"/>
          <w:bCs w:val="1"/>
          <w:sz w:val="24"/>
          <w:szCs w:val="24"/>
          <w:rtl w:val="0"/>
          <w:lang w:val="en-US"/>
        </w:rPr>
        <w:t>4</w:t>
      </w: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人。</w:t>
      </w:r>
    </w:p>
    <w:p>
      <w:pPr>
        <w:pStyle w:val="Normal"/>
        <w:numPr>
          <w:ilvl w:val="0"/>
          <w:numId w:val="3"/>
        </w:numPr>
        <w:tabs>
          <w:tab w:val="num" w:pos="930"/>
          <w:tab w:val="left" w:pos="105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30" w:right="0" w:hanging="840"/>
        <w:jc w:val="left"/>
        <w:rPr>
          <w:b w:val="1"/>
          <w:bCs w:val="1"/>
          <w:position w:val="0"/>
          <w:sz w:val="24"/>
          <w:szCs w:val="24"/>
          <w:rtl w:val="0"/>
        </w:rPr>
      </w:pP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专家论证会主要围绕拟购设备的科学性、共享性和预算及运行成本三方面听取申购单位汇报，并采用专家组与申购单位之间问答交流方式进行。专家组在《复旦大学拟购大型仪器设备专家论证意见表》中给出明确结论意见。</w:t>
      </w:r>
    </w:p>
    <w:p>
      <w:pPr>
        <w:pStyle w:val="Normal"/>
        <w:numPr>
          <w:ilvl w:val="0"/>
          <w:numId w:val="5"/>
        </w:numPr>
        <w:tabs>
          <w:tab w:val="num" w:pos="851"/>
          <w:tab w:val="left" w:pos="96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941" w:right="0" w:hanging="851"/>
        <w:jc w:val="left"/>
        <w:rPr>
          <w:b w:val="1"/>
          <w:bCs w:val="1"/>
          <w:position w:val="0"/>
          <w:rtl w:val="0"/>
        </w:rPr>
      </w:pPr>
      <w:r>
        <w:rPr>
          <w:rFonts w:eastAsia="宋体" w:hint="eastAsia"/>
          <w:b w:val="0"/>
          <w:bCs w:val="0"/>
          <w:sz w:val="24"/>
          <w:szCs w:val="24"/>
          <w:rtl w:val="0"/>
          <w:lang w:val="en-US" w:eastAsia="zh-TW"/>
        </w:rPr>
        <w:t>专家论证会论证通过后，按《复旦大学物资采购管理规定》执行，申购单位提交《复旦大学购置大型精密仪器设备申请表》及论证材料，与资产管理处沟通采购及招标事宜。</w:t>
      </w:r>
      <w:r>
        <w:rPr>
          <w:b w:val="1"/>
          <w:bCs w:val="1"/>
          <w:sz w:val="24"/>
          <w:szCs w:val="24"/>
        </w:rPr>
        <w:br w:type="page"/>
      </w:r>
    </w:p>
    <w:sectPr>
      <w:headerReference w:type="default" r:id="rId10"/>
      <w:footerReference w:type="default" r:id="rId11"/>
      <w:type w:val="continuous"/>
      <w:pgSz w:w="11906" w:h="16838" w:orient="portrait"/>
      <w:pgMar w:top="1298" w:right="1828" w:bottom="2006" w:left="149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仿宋">
    <w:charset w:val="00"/>
    <w:family w:val="roman"/>
    <w:pitch w:val="default"/>
  </w:font>
  <w:font w:name="华文楷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ideographDigital"/>
      <w:suff w:val="tab"/>
      <w:lvlText w:val="%1."/>
      <w:lvlJc w:val="left"/>
      <w:pPr>
        <w:tabs>
          <w:tab w:val="num" w:pos="1050"/>
          <w:tab w:val="clear" w:pos="0"/>
        </w:tabs>
        <w:ind w:left="1050" w:hanging="9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780"/>
          <w:tab w:val="clear" w:pos="0"/>
        </w:tabs>
        <w:ind w:left="780" w:hanging="3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</w:abstractNum>
  <w:abstractNum w:abstractNumId="1">
    <w:multiLevelType w:val="multilevel"/>
    <w:lvl w:ilvl="0">
      <w:start w:val="1"/>
      <w:numFmt w:val="ideographDigital"/>
      <w:suff w:val="tab"/>
      <w:lvlText w:val="%1."/>
      <w:lvlJc w:val="left"/>
      <w:pPr/>
      <w:rPr>
        <w:color w:val="000000"/>
        <w:position w:val="0"/>
      </w:rPr>
    </w:lvl>
    <w:lvl w:ilvl="1">
      <w:start w:val="1"/>
      <w:numFmt w:val="decimal"/>
      <w:suff w:val="tab"/>
      <w:lvlText w:val="%2."/>
      <w:lvlJc w:val="left"/>
      <w:pPr/>
      <w:rPr>
        <w:color w:val="000000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color w:val="000000"/>
        <w:position w:val="0"/>
      </w:rPr>
    </w:lvl>
    <w:lvl w:ilvl="3">
      <w:start w:val="1"/>
      <w:numFmt w:val="decimal"/>
      <w:suff w:val="tab"/>
      <w:lvlText w:val="%4."/>
      <w:lvlJc w:val="left"/>
      <w:pPr/>
      <w:rPr>
        <w:color w:val="000000"/>
        <w:position w:val="0"/>
      </w:rPr>
    </w:lvl>
    <w:lvl w:ilvl="4">
      <w:start w:val="1"/>
      <w:numFmt w:val="lowerLetter"/>
      <w:suff w:val="tab"/>
      <w:lvlText w:val="%5)"/>
      <w:lvlJc w:val="left"/>
      <w:pPr/>
      <w:rPr>
        <w:color w:val="000000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color w:val="000000"/>
        <w:position w:val="0"/>
      </w:rPr>
    </w:lvl>
    <w:lvl w:ilvl="6">
      <w:start w:val="1"/>
      <w:numFmt w:val="decimal"/>
      <w:suff w:val="tab"/>
      <w:lvlText w:val="%7."/>
      <w:lvlJc w:val="left"/>
      <w:pPr/>
      <w:rPr>
        <w:color w:val="000000"/>
        <w:position w:val="0"/>
      </w:rPr>
    </w:lvl>
    <w:lvl w:ilvl="7">
      <w:start w:val="1"/>
      <w:numFmt w:val="lowerLetter"/>
      <w:suff w:val="tab"/>
      <w:lvlText w:val="%8)"/>
      <w:lvlJc w:val="left"/>
      <w:pPr/>
      <w:rPr>
        <w:color w:val="000000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color w:val="000000"/>
        <w:position w:val="0"/>
      </w:rPr>
    </w:lvl>
  </w:abstractNum>
  <w:abstractNum w:abstractNumId="2">
    <w:multiLevelType w:val="multilevel"/>
    <w:styleLink w:val="List 0"/>
    <w:lvl w:ilvl="0">
      <w:start w:val="1"/>
      <w:numFmt w:val="ideographDigital"/>
      <w:suff w:val="tab"/>
      <w:lvlText w:val="%1."/>
      <w:lvlJc w:val="left"/>
      <w:pPr>
        <w:tabs>
          <w:tab w:val="num" w:pos="1050"/>
          <w:tab w:val="clear" w:pos="0"/>
        </w:tabs>
        <w:ind w:left="1050" w:hanging="9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780"/>
          <w:tab w:val="clear" w:pos="0"/>
        </w:tabs>
        <w:ind w:left="780" w:hanging="3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</w:abstractNum>
  <w:abstractNum w:abstractNumId="3">
    <w:multiLevelType w:val="multilevel"/>
    <w:lvl w:ilvl="0">
      <w:start w:val="1"/>
      <w:numFmt w:val="ideographDigital"/>
      <w:suff w:val="tab"/>
      <w:lvlText w:val="%1."/>
      <w:lvlJc w:val="left"/>
      <w:pPr>
        <w:tabs>
          <w:tab w:val="num" w:pos="960"/>
          <w:tab w:val="clear" w:pos="0"/>
        </w:tabs>
        <w:ind w:left="960" w:hanging="87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780"/>
          <w:tab w:val="clear" w:pos="0"/>
        </w:tabs>
        <w:ind w:left="780" w:hanging="3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</w:abstractNum>
  <w:abstractNum w:abstractNumId="4">
    <w:multiLevelType w:val="multilevel"/>
    <w:styleLink w:val="List 1"/>
    <w:lvl w:ilvl="0">
      <w:start w:val="6"/>
      <w:numFmt w:val="ideographDigital"/>
      <w:suff w:val="tab"/>
      <w:lvlText w:val="%1."/>
      <w:lvlJc w:val="left"/>
      <w:pPr>
        <w:tabs>
          <w:tab w:val="num" w:pos="960"/>
          <w:tab w:val="clear" w:pos="0"/>
        </w:tabs>
        <w:ind w:left="960" w:hanging="87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780"/>
          <w:tab w:val="clear" w:pos="0"/>
        </w:tabs>
        <w:ind w:left="780" w:hanging="36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color w:val="000000"/>
        <w:position w:val="0"/>
        <w:sz w:val="24"/>
        <w:szCs w:val="24"/>
        <w:lang w:val="zh-TW" w:eastAsia="zh-T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Calibri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  <w:style w:type="paragraph" w:styleId="Body Text 2">
    <w:name w:val="Body Text 2"/>
    <w:next w:val="Body Text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480" w:lineRule="exact"/>
      <w:ind w:left="0" w:right="0" w:firstLine="0"/>
      <w:jc w:val="both"/>
      <w:outlineLvl w:val="9"/>
    </w:pPr>
    <w:rPr>
      <w:rFonts w:ascii="Arial Unicode MS" w:cs="Arial Unicode MS" w:hAnsi="Arial Unicode MS" w:eastAsia="宋体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Normal Indent">
    <w:name w:val="Normal Indent"/>
    <w:next w:val="Normal Inden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40" w:after="240" w:line="360" w:lineRule="auto"/>
      <w:ind w:left="0" w:right="0" w:firstLine="454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8"/>
      <w:szCs w:val="28"/>
      <w:u w:val="none" w:color="000000"/>
      <w:vertAlign w:val="baseline"/>
      <w:lang w:val="zh-TW" w:eastAsia="zh-TW"/>
    </w:rPr>
  </w:style>
  <w:style w:type="numbering" w:styleId="List 0">
    <w:name w:val="List 0"/>
    <w:basedOn w:val="已导入的样式“3”"/>
    <w:next w:val="List 0"/>
    <w:pPr>
      <w:numPr>
        <w:numId w:val="1"/>
      </w:numPr>
    </w:pPr>
  </w:style>
  <w:style w:type="numbering" w:styleId="已导入的样式“3”">
    <w:name w:val="已导入的样式“3”"/>
    <w:next w:val="已导入的样式“3”"/>
    <w:pPr>
      <w:numPr>
        <w:numId w:val="2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42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numbering" w:styleId="List 1">
    <w:name w:val="List 1"/>
    <w:basedOn w:val="已导入的样式“3”"/>
    <w:next w:val="List 1"/>
    <w:pPr>
      <w:numPr>
        <w:numId w:val="4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footer" Target="footer4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