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heading 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宋体" w:cs="宋体" w:hAnsi="宋体" w:eastAsia="宋体"/>
          <w:b w:val="0"/>
          <w:bCs w:val="0"/>
          <w:sz w:val="36"/>
          <w:szCs w:val="36"/>
          <w:rtl w:val="0"/>
          <w:lang w:val="zh-TW" w:eastAsia="zh-TW"/>
        </w:rPr>
      </w:pPr>
      <w:bookmarkStart w:name="购销合同" w:id="0"/>
      <w:r>
        <w:rPr>
          <w:rFonts w:eastAsia="宋体" w:hint="eastAsia"/>
          <w:b w:val="0"/>
          <w:bCs w:val="0"/>
          <w:sz w:val="36"/>
          <w:szCs w:val="36"/>
          <w:rtl w:val="0"/>
          <w:lang w:val="zh-TW" w:eastAsia="zh-TW"/>
        </w:rPr>
        <w:t>产品购货合同</w:t>
      </w:r>
      <w:bookmarkEnd w:id="0"/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ascii="宋体" w:cs="宋体" w:hAnsi="宋体" w:eastAsia="宋体"/>
          <w:sz w:val="24"/>
          <w:szCs w:val="24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ascii="宋体" w:cs="宋体" w:hAnsi="宋体" w:eastAsia="宋体"/>
          <w:sz w:val="24"/>
          <w:szCs w:val="24"/>
        </w:rPr>
      </w:pPr>
      <w:r>
        <w:rPr>
          <w:rFonts w:eastAsia="宋体" w:hint="eastAsia"/>
          <w:sz w:val="24"/>
          <w:szCs w:val="24"/>
          <w:rtl w:val="0"/>
          <w:lang w:val="zh-TW" w:eastAsia="zh-TW"/>
        </w:rPr>
        <w:t>购货方（甲方）：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复旦大学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                    合同编号：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ascii="宋体" w:cs="宋体" w:hAnsi="宋体" w:eastAsia="宋体"/>
          <w:sz w:val="24"/>
          <w:szCs w:val="24"/>
        </w:rPr>
      </w:pPr>
      <w:r>
        <w:rPr>
          <w:rFonts w:eastAsia="宋体" w:hint="eastAsia"/>
          <w:sz w:val="24"/>
          <w:szCs w:val="24"/>
          <w:rtl w:val="0"/>
          <w:lang w:val="zh-TW" w:eastAsia="zh-TW"/>
        </w:rPr>
        <w:t>供货方（乙方）：                            签订日期：</w:t>
      </w:r>
    </w:p>
    <w:p>
      <w:pPr>
        <w:pStyle w:val="Normal"/>
        <w:numPr>
          <w:ilvl w:val="0"/>
          <w:numId w:val="3"/>
        </w:numPr>
        <w:tabs>
          <w:tab w:val="num" w:pos="866"/>
          <w:tab w:val="left" w:pos="99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866" w:right="0" w:hanging="866"/>
        <w:jc w:val="both"/>
        <w:rPr>
          <w:rFonts w:ascii="宋体" w:cs="宋体" w:hAnsi="宋体" w:eastAsia="宋体"/>
          <w:position w:val="0"/>
          <w:sz w:val="24"/>
          <w:szCs w:val="24"/>
          <w:rtl w:val="0"/>
        </w:rPr>
      </w:pPr>
      <w:r>
        <w:rPr>
          <w:rFonts w:eastAsia="宋体" w:hint="eastAsia"/>
          <w:sz w:val="24"/>
          <w:szCs w:val="24"/>
          <w:rtl w:val="0"/>
          <w:lang w:val="en-US" w:eastAsia="zh-TW"/>
        </w:rPr>
        <w:t>标的内容</w:t>
      </w:r>
    </w:p>
    <w:tbl>
      <w:tblPr>
        <w:tblW w:w="984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40"/>
        <w:gridCol w:w="2520"/>
        <w:gridCol w:w="900"/>
        <w:gridCol w:w="1620"/>
        <w:gridCol w:w="1560"/>
      </w:tblGrid>
      <w:tr>
        <w:tblPrEx>
          <w:shd w:val="clear" w:color="auto" w:fill="auto"/>
        </w:tblPrEx>
        <w:trPr>
          <w:trHeight w:val="256" w:hRule="atLeast"/>
        </w:trPr>
        <w:tc>
          <w:tcPr>
            <w:tcW w:type="dxa" w:w="3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360" w:lineRule="auto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产品名称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360" w:lineRule="auto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规格型号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</w:tabs>
              <w:spacing w:line="360" w:lineRule="auto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数量</w:t>
            </w:r>
          </w:p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auto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单价（元）</w:t>
            </w:r>
          </w:p>
        </w:tc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auto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金额（元）</w:t>
            </w:r>
          </w:p>
        </w:tc>
      </w:tr>
      <w:tr>
        <w:tblPrEx>
          <w:shd w:val="clear" w:color="auto" w:fill="auto"/>
        </w:tblPrEx>
        <w:trPr>
          <w:trHeight w:val="256" w:hRule="atLeast"/>
        </w:trPr>
        <w:tc>
          <w:tcPr>
            <w:tcW w:type="dxa" w:w="3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56" w:hRule="atLeast"/>
        </w:trPr>
        <w:tc>
          <w:tcPr>
            <w:tcW w:type="dxa" w:w="3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56" w:hRule="atLeast"/>
        </w:trPr>
        <w:tc>
          <w:tcPr>
            <w:tcW w:type="dxa" w:w="9840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360" w:lineRule="auto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 xml:space="preserve">合计人民币金额（大写） </w:t>
            </w:r>
          </w:p>
        </w:tc>
      </w:tr>
    </w:tbl>
    <w:p>
      <w:pPr>
        <w:pStyle w:val="Normal"/>
        <w:numPr>
          <w:ilvl w:val="0"/>
          <w:numId w:val="4"/>
        </w:numPr>
        <w:tabs>
          <w:tab w:val="num" w:pos="866"/>
          <w:tab w:val="left" w:pos="99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left="866" w:hanging="866"/>
        <w:rPr>
          <w:rFonts w:ascii="宋体" w:cs="宋体" w:hAnsi="宋体" w:eastAsia="宋体"/>
          <w:position w:val="0"/>
          <w:sz w:val="24"/>
          <w:szCs w:val="24"/>
        </w:rPr>
      </w:pPr>
    </w:p>
    <w:p>
      <w:pPr>
        <w:pStyle w:val="Normal"/>
        <w:numPr>
          <w:ilvl w:val="0"/>
          <w:numId w:val="5"/>
        </w:numPr>
        <w:tabs>
          <w:tab w:val="num" w:pos="866"/>
          <w:tab w:val="left" w:pos="99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866" w:right="0" w:hanging="866"/>
        <w:jc w:val="both"/>
        <w:rPr>
          <w:rFonts w:ascii="宋体" w:cs="宋体" w:hAnsi="宋体" w:eastAsia="宋体"/>
          <w:position w:val="0"/>
          <w:sz w:val="24"/>
          <w:szCs w:val="24"/>
          <w:rtl w:val="0"/>
        </w:rPr>
      </w:pPr>
      <w:r>
        <w:rPr>
          <w:rFonts w:eastAsia="宋体" w:hint="eastAsia"/>
          <w:sz w:val="24"/>
          <w:szCs w:val="24"/>
          <w:rtl w:val="0"/>
          <w:lang w:val="en-US" w:eastAsia="zh-TW"/>
        </w:rPr>
        <w:t>交货时间</w:t>
      </w:r>
      <w:r>
        <w:rPr>
          <w:rFonts w:eastAsia="宋体" w:hint="eastAsia"/>
          <w:sz w:val="24"/>
          <w:szCs w:val="24"/>
          <w:rtl w:val="0"/>
          <w:lang w:val="en-US" w:eastAsia="zh-TW"/>
        </w:rPr>
        <w:t>：</w:t>
      </w:r>
      <w:r>
        <w:rPr>
          <w:rFonts w:ascii="宋体"/>
          <w:sz w:val="24"/>
          <w:szCs w:val="24"/>
          <w:rtl w:val="0"/>
          <w:lang w:val="en-US"/>
        </w:rPr>
        <w:t>1</w:t>
      </w:r>
      <w:r>
        <w:rPr>
          <w:rFonts w:eastAsia="宋体" w:hint="eastAsia"/>
          <w:sz w:val="24"/>
          <w:szCs w:val="24"/>
          <w:rtl w:val="0"/>
          <w:lang w:val="en-US" w:eastAsia="zh-TW"/>
        </w:rPr>
        <w:t>、 签订合同后</w:t>
      </w:r>
      <w:r>
        <w:rPr>
          <w:rFonts w:ascii="宋体"/>
          <w:sz w:val="24"/>
          <w:szCs w:val="24"/>
          <w:rtl w:val="0"/>
          <w:lang w:val="en-US"/>
        </w:rPr>
        <w:t>XX</w:t>
      </w:r>
      <w:r>
        <w:rPr>
          <w:rFonts w:eastAsia="宋体" w:hint="eastAsia"/>
          <w:sz w:val="24"/>
          <w:szCs w:val="24"/>
          <w:rtl w:val="0"/>
          <w:lang w:val="en-US" w:eastAsia="zh-TW"/>
        </w:rPr>
        <w:t>天； （对应</w:t>
      </w:r>
      <w:r>
        <w:rPr>
          <w:rFonts w:hAnsi="宋体" w:hint="default"/>
          <w:sz w:val="24"/>
          <w:szCs w:val="24"/>
          <w:rtl w:val="0"/>
          <w:lang w:val="en-US"/>
        </w:rPr>
        <w:t>“</w:t>
      </w:r>
      <w:r>
        <w:rPr>
          <w:rFonts w:eastAsia="宋体" w:hint="eastAsia"/>
          <w:sz w:val="24"/>
          <w:szCs w:val="24"/>
          <w:rtl w:val="0"/>
          <w:lang w:val="en-US" w:eastAsia="zh-TW"/>
        </w:rPr>
        <w:t>付款方式</w:t>
      </w:r>
      <w:r>
        <w:rPr>
          <w:rFonts w:ascii="宋体"/>
          <w:sz w:val="24"/>
          <w:szCs w:val="24"/>
          <w:rtl w:val="0"/>
          <w:lang w:val="en-US"/>
        </w:rPr>
        <w:t>1</w:t>
      </w:r>
      <w:r>
        <w:rPr>
          <w:rFonts w:hAnsi="宋体" w:hint="default"/>
          <w:sz w:val="24"/>
          <w:szCs w:val="24"/>
          <w:rtl w:val="0"/>
          <w:lang w:val="en-US"/>
        </w:rPr>
        <w:t xml:space="preserve">” </w:t>
      </w:r>
      <w:r>
        <w:rPr>
          <w:rFonts w:eastAsia="宋体" w:hint="eastAsia"/>
          <w:sz w:val="24"/>
          <w:szCs w:val="24"/>
          <w:rtl w:val="0"/>
          <w:lang w:val="en-US" w:eastAsia="zh-TW"/>
        </w:rPr>
        <w:t>）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ind w:firstLine="1200"/>
        <w:rPr>
          <w:rFonts w:ascii="宋体" w:cs="宋体" w:hAnsi="宋体" w:eastAsia="宋体"/>
          <w:sz w:val="24"/>
          <w:szCs w:val="24"/>
        </w:rPr>
      </w:pPr>
      <w:r>
        <w:rPr>
          <w:rFonts w:eastAsia="宋体" w:hint="eastAsia"/>
          <w:sz w:val="24"/>
          <w:szCs w:val="24"/>
          <w:rtl w:val="0"/>
          <w:lang w:val="zh-TW" w:eastAsia="zh-TW"/>
        </w:rPr>
        <w:t>或者是：</w:t>
      </w:r>
      <w:r>
        <w:rPr>
          <w:rFonts w:ascii="宋体"/>
          <w:sz w:val="24"/>
          <w:szCs w:val="24"/>
          <w:rtl w:val="0"/>
          <w:lang w:val="en-US"/>
        </w:rPr>
        <w:t>2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、</w:t>
      </w:r>
      <w:r>
        <w:rPr>
          <w:rFonts w:ascii="宋体"/>
          <w:sz w:val="24"/>
          <w:szCs w:val="24"/>
          <w:rtl w:val="0"/>
          <w:lang w:val="en-US"/>
        </w:rPr>
        <w:t xml:space="preserve"> 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收到预付款后</w:t>
      </w:r>
      <w:r>
        <w:rPr>
          <w:rFonts w:ascii="宋体"/>
          <w:sz w:val="24"/>
          <w:szCs w:val="24"/>
          <w:rtl w:val="0"/>
          <w:lang w:val="en-US"/>
        </w:rPr>
        <w:t>XX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天。（对应</w:t>
      </w:r>
      <w:r>
        <w:rPr>
          <w:rFonts w:hAnsi="宋体" w:hint="default"/>
          <w:sz w:val="24"/>
          <w:szCs w:val="24"/>
          <w:rtl w:val="0"/>
          <w:lang w:val="en-US"/>
        </w:rPr>
        <w:t>“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付款方式</w:t>
      </w:r>
      <w:r>
        <w:rPr>
          <w:rFonts w:ascii="宋体"/>
          <w:sz w:val="24"/>
          <w:szCs w:val="24"/>
          <w:rtl w:val="0"/>
          <w:lang w:val="en-US"/>
        </w:rPr>
        <w:t>2</w:t>
      </w:r>
      <w:r>
        <w:rPr>
          <w:rFonts w:hAnsi="宋体" w:hint="default"/>
          <w:sz w:val="24"/>
          <w:szCs w:val="24"/>
          <w:rtl w:val="0"/>
          <w:lang w:val="en-US"/>
        </w:rPr>
        <w:t xml:space="preserve">” 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）</w:t>
      </w:r>
    </w:p>
    <w:p>
      <w:pPr>
        <w:pStyle w:val="Normal"/>
        <w:numPr>
          <w:ilvl w:val="0"/>
          <w:numId w:val="5"/>
        </w:numPr>
        <w:tabs>
          <w:tab w:val="num" w:pos="866"/>
          <w:tab w:val="left" w:pos="99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866" w:right="0" w:hanging="866"/>
        <w:jc w:val="both"/>
        <w:rPr>
          <w:rFonts w:ascii="宋体" w:cs="宋体" w:hAnsi="宋体" w:eastAsia="宋体"/>
          <w:position w:val="0"/>
          <w:sz w:val="24"/>
          <w:szCs w:val="24"/>
          <w:rtl w:val="0"/>
        </w:rPr>
      </w:pPr>
      <w:r>
        <w:rPr>
          <w:rFonts w:eastAsia="宋体" w:hint="eastAsia"/>
          <w:sz w:val="24"/>
          <w:szCs w:val="24"/>
          <w:rtl w:val="0"/>
          <w:lang w:val="en-US" w:eastAsia="zh-TW"/>
        </w:rPr>
        <w:t>交货地点</w:t>
      </w:r>
      <w:r>
        <w:rPr>
          <w:rFonts w:eastAsia="宋体" w:hint="eastAsia"/>
          <w:sz w:val="24"/>
          <w:szCs w:val="24"/>
          <w:rtl w:val="0"/>
          <w:lang w:val="en-US" w:eastAsia="zh-TW"/>
        </w:rPr>
        <w:t>：复旦大学指定地点。</w:t>
      </w:r>
    </w:p>
    <w:p>
      <w:pPr>
        <w:pStyle w:val="Normal"/>
        <w:numPr>
          <w:ilvl w:val="0"/>
          <w:numId w:val="5"/>
        </w:numPr>
        <w:tabs>
          <w:tab w:val="num" w:pos="866"/>
          <w:tab w:val="left" w:pos="99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866" w:right="0" w:hanging="866"/>
        <w:jc w:val="both"/>
        <w:rPr>
          <w:rFonts w:ascii="宋体" w:cs="宋体" w:hAnsi="宋体" w:eastAsia="宋体"/>
          <w:position w:val="0"/>
          <w:sz w:val="24"/>
          <w:szCs w:val="24"/>
          <w:rtl w:val="0"/>
        </w:rPr>
      </w:pPr>
      <w:r>
        <w:rPr>
          <w:rFonts w:eastAsia="宋体" w:hint="eastAsia"/>
          <w:sz w:val="24"/>
          <w:szCs w:val="24"/>
          <w:rtl w:val="0"/>
          <w:lang w:val="en-US" w:eastAsia="zh-TW"/>
        </w:rPr>
        <w:t>付款方式</w:t>
      </w:r>
      <w:r>
        <w:rPr>
          <w:rFonts w:eastAsia="宋体" w:hint="eastAsia"/>
          <w:sz w:val="24"/>
          <w:szCs w:val="24"/>
          <w:rtl w:val="0"/>
          <w:lang w:val="en-US" w:eastAsia="zh-TW"/>
        </w:rPr>
        <w:t>：</w:t>
      </w:r>
      <w:r>
        <w:rPr>
          <w:rFonts w:ascii="宋体"/>
          <w:sz w:val="24"/>
          <w:szCs w:val="24"/>
          <w:rtl w:val="0"/>
          <w:lang w:val="en-US"/>
        </w:rPr>
        <w:t>1</w:t>
      </w:r>
      <w:r>
        <w:rPr>
          <w:rFonts w:eastAsia="宋体" w:hint="eastAsia"/>
          <w:sz w:val="24"/>
          <w:szCs w:val="24"/>
          <w:rtl w:val="0"/>
          <w:lang w:val="en-US" w:eastAsia="zh-TW"/>
        </w:rPr>
        <w:t>、货到付款；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ind w:firstLine="2256"/>
        <w:rPr>
          <w:rFonts w:ascii="宋体" w:cs="宋体" w:hAnsi="宋体" w:eastAsia="宋体"/>
          <w:sz w:val="24"/>
          <w:szCs w:val="24"/>
        </w:rPr>
      </w:pPr>
      <w:r>
        <w:rPr>
          <w:rFonts w:ascii="宋体"/>
          <w:sz w:val="24"/>
          <w:szCs w:val="24"/>
          <w:rtl w:val="0"/>
          <w:lang w:val="en-US"/>
        </w:rPr>
        <w:t>2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、预付</w:t>
      </w:r>
      <w:r>
        <w:rPr>
          <w:rFonts w:ascii="宋体"/>
          <w:sz w:val="24"/>
          <w:szCs w:val="24"/>
          <w:rtl w:val="0"/>
          <w:lang w:val="en-US"/>
        </w:rPr>
        <w:t>XX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％货款。</w:t>
      </w:r>
    </w:p>
    <w:p>
      <w:pPr>
        <w:pStyle w:val="Normal"/>
        <w:numPr>
          <w:ilvl w:val="0"/>
          <w:numId w:val="5"/>
        </w:numPr>
        <w:tabs>
          <w:tab w:val="num" w:pos="866"/>
          <w:tab w:val="left" w:pos="99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866" w:right="0" w:hanging="866"/>
        <w:jc w:val="both"/>
        <w:rPr>
          <w:rFonts w:ascii="宋体" w:cs="宋体" w:hAnsi="宋体" w:eastAsia="宋体"/>
          <w:position w:val="0"/>
          <w:sz w:val="24"/>
          <w:szCs w:val="24"/>
          <w:rtl w:val="0"/>
        </w:rPr>
      </w:pPr>
      <w:r>
        <w:rPr>
          <w:rFonts w:eastAsia="宋体" w:hint="eastAsia"/>
          <w:sz w:val="24"/>
          <w:szCs w:val="24"/>
          <w:rtl w:val="0"/>
          <w:lang w:val="en-US" w:eastAsia="zh-TW"/>
        </w:rPr>
        <w:t>包装、运输方式及费用负担：</w:t>
      </w:r>
      <w:r>
        <w:rPr>
          <w:rFonts w:eastAsia="宋体" w:hint="eastAsia"/>
          <w:sz w:val="24"/>
          <w:szCs w:val="24"/>
          <w:rtl w:val="0"/>
          <w:lang w:val="en-US" w:eastAsia="zh-TW"/>
        </w:rPr>
        <w:t xml:space="preserve"> 所供货物须原厂包装并且符合运输条件。运输及保险费用由供货方承担。</w:t>
      </w:r>
    </w:p>
    <w:p>
      <w:pPr>
        <w:pStyle w:val="Normal"/>
        <w:numPr>
          <w:ilvl w:val="0"/>
          <w:numId w:val="5"/>
        </w:numPr>
        <w:tabs>
          <w:tab w:val="num" w:pos="866"/>
          <w:tab w:val="left" w:pos="99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866" w:right="0" w:hanging="866"/>
        <w:jc w:val="both"/>
        <w:rPr>
          <w:rFonts w:ascii="宋体" w:cs="宋体" w:hAnsi="宋体" w:eastAsia="宋体"/>
          <w:position w:val="0"/>
          <w:sz w:val="24"/>
          <w:szCs w:val="24"/>
          <w:rtl w:val="0"/>
        </w:rPr>
      </w:pPr>
      <w:r>
        <w:rPr>
          <w:rFonts w:eastAsia="宋体" w:hint="eastAsia"/>
          <w:sz w:val="24"/>
          <w:szCs w:val="24"/>
          <w:rtl w:val="0"/>
          <w:lang w:val="en-US" w:eastAsia="zh-TW"/>
        </w:rPr>
        <w:t>质量保证期（从验收合格后起算）：</w:t>
      </w:r>
    </w:p>
    <w:p>
      <w:pPr>
        <w:pStyle w:val="Normal"/>
        <w:numPr>
          <w:ilvl w:val="0"/>
          <w:numId w:val="5"/>
        </w:numPr>
        <w:tabs>
          <w:tab w:val="num" w:pos="866"/>
          <w:tab w:val="left" w:pos="99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866" w:right="0" w:hanging="866"/>
        <w:jc w:val="both"/>
        <w:rPr>
          <w:rFonts w:ascii="宋体" w:cs="宋体" w:hAnsi="宋体" w:eastAsia="宋体"/>
          <w:position w:val="0"/>
          <w:sz w:val="24"/>
          <w:szCs w:val="24"/>
          <w:rtl w:val="0"/>
        </w:rPr>
      </w:pPr>
      <w:r>
        <w:rPr>
          <w:rFonts w:eastAsia="宋体" w:hint="eastAsia"/>
          <w:sz w:val="24"/>
          <w:szCs w:val="24"/>
          <w:rtl w:val="0"/>
          <w:lang w:val="en-US" w:eastAsia="zh-TW"/>
        </w:rPr>
        <w:t>违约责任：</w:t>
      </w:r>
      <w:r>
        <w:rPr>
          <w:rFonts w:eastAsia="宋体" w:hint="eastAsia"/>
          <w:sz w:val="24"/>
          <w:szCs w:val="24"/>
          <w:rtl w:val="0"/>
          <w:lang w:val="en-US" w:eastAsia="zh-TW"/>
        </w:rPr>
        <w:t>乙方延期交货，按合同金额未交货部分的</w:t>
      </w:r>
      <w:r>
        <w:rPr>
          <w:rFonts w:ascii="宋体"/>
          <w:sz w:val="24"/>
          <w:szCs w:val="24"/>
          <w:rtl w:val="0"/>
          <w:lang w:val="en-US"/>
        </w:rPr>
        <w:t>0.5%</w:t>
      </w:r>
      <w:r>
        <w:rPr>
          <w:rFonts w:eastAsia="宋体" w:hint="eastAsia"/>
          <w:sz w:val="24"/>
          <w:szCs w:val="24"/>
          <w:rtl w:val="0"/>
          <w:lang w:val="en-US" w:eastAsia="zh-TW"/>
        </w:rPr>
        <w:t>支付日赔偿金。如果延期日期超过</w:t>
      </w:r>
      <w:r>
        <w:rPr>
          <w:rFonts w:ascii="宋体"/>
          <w:sz w:val="24"/>
          <w:szCs w:val="24"/>
          <w:rtl w:val="0"/>
          <w:lang w:val="en-US"/>
        </w:rPr>
        <w:t>10</w:t>
      </w:r>
      <w:r>
        <w:rPr>
          <w:rFonts w:eastAsia="宋体" w:hint="eastAsia"/>
          <w:sz w:val="24"/>
          <w:szCs w:val="24"/>
          <w:rtl w:val="0"/>
          <w:lang w:val="en-US" w:eastAsia="zh-TW"/>
        </w:rPr>
        <w:t>天，甲方有权取消合同。乙方除退还甲方已付货款外，仍应支付相应的违约金。</w:t>
      </w:r>
    </w:p>
    <w:p>
      <w:pPr>
        <w:pStyle w:val="Normal"/>
        <w:numPr>
          <w:ilvl w:val="0"/>
          <w:numId w:val="5"/>
        </w:numPr>
        <w:tabs>
          <w:tab w:val="num" w:pos="866"/>
          <w:tab w:val="left" w:pos="99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866" w:right="0" w:hanging="866"/>
        <w:jc w:val="both"/>
        <w:rPr>
          <w:rFonts w:ascii="宋体" w:cs="宋体" w:hAnsi="宋体" w:eastAsia="宋体"/>
          <w:position w:val="0"/>
          <w:sz w:val="24"/>
          <w:szCs w:val="24"/>
          <w:rtl w:val="0"/>
        </w:rPr>
      </w:pPr>
      <w:r>
        <w:rPr>
          <w:rFonts w:eastAsia="宋体" w:hint="eastAsia"/>
          <w:sz w:val="24"/>
          <w:szCs w:val="24"/>
          <w:rtl w:val="0"/>
          <w:lang w:val="en-US" w:eastAsia="zh-TW"/>
        </w:rPr>
        <w:t>争议处理：</w:t>
      </w:r>
      <w:r>
        <w:rPr>
          <w:rFonts w:eastAsia="宋体" w:hint="eastAsia"/>
          <w:sz w:val="24"/>
          <w:szCs w:val="24"/>
          <w:rtl w:val="0"/>
          <w:lang w:val="en-US" w:eastAsia="zh-TW"/>
        </w:rPr>
        <w:t>本合同在履行过程中发生的争议由双方当事人协商解决，协商不成依法向上海市杨浦区人民法院起诉。</w:t>
      </w:r>
    </w:p>
    <w:p>
      <w:pPr>
        <w:pStyle w:val="Normal"/>
        <w:numPr>
          <w:ilvl w:val="0"/>
          <w:numId w:val="5"/>
        </w:numPr>
        <w:tabs>
          <w:tab w:val="num" w:pos="866"/>
          <w:tab w:val="left" w:pos="99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bidi w:val="0"/>
        <w:spacing w:line="360" w:lineRule="auto"/>
        <w:ind w:left="866" w:right="0" w:hanging="866"/>
        <w:jc w:val="both"/>
        <w:rPr>
          <w:rFonts w:ascii="宋体" w:cs="宋体" w:hAnsi="宋体" w:eastAsia="宋体"/>
          <w:position w:val="0"/>
          <w:sz w:val="24"/>
          <w:szCs w:val="24"/>
          <w:rtl w:val="0"/>
        </w:rPr>
      </w:pPr>
      <w:r>
        <w:rPr>
          <w:rFonts w:eastAsia="宋体" w:hint="eastAsia"/>
          <w:sz w:val="24"/>
          <w:szCs w:val="24"/>
          <w:rtl w:val="0"/>
          <w:lang w:val="en-US" w:eastAsia="zh-TW"/>
        </w:rPr>
        <w:t>法律依据：</w:t>
      </w:r>
      <w:r>
        <w:rPr>
          <w:rFonts w:eastAsia="宋体" w:hint="eastAsia"/>
          <w:sz w:val="24"/>
          <w:szCs w:val="24"/>
          <w:rtl w:val="0"/>
          <w:lang w:val="en-US" w:eastAsia="zh-TW"/>
        </w:rPr>
        <w:t>本合同的法律依据为《中华人民共和国合同法》，本合同自</w:t>
      </w:r>
      <w:r>
        <w:rPr>
          <w:rFonts w:eastAsia="宋体" w:hint="eastAsia"/>
          <w:sz w:val="24"/>
          <w:szCs w:val="24"/>
          <w:u w:val="single"/>
          <w:rtl w:val="0"/>
          <w:lang w:val="en-US" w:eastAsia="zh-TW"/>
        </w:rPr>
        <w:t xml:space="preserve">  双方签字盖章后   </w:t>
      </w:r>
      <w:r>
        <w:rPr>
          <w:rFonts w:eastAsia="宋体" w:hint="eastAsia"/>
          <w:sz w:val="24"/>
          <w:szCs w:val="24"/>
          <w:rtl w:val="0"/>
          <w:lang w:val="en-US" w:eastAsia="zh-TW"/>
        </w:rPr>
        <w:t>生效。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ascii="宋体" w:cs="宋体" w:hAnsi="宋体" w:eastAsia="宋体"/>
          <w:sz w:val="24"/>
          <w:szCs w:val="24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rPr>
          <w:rFonts w:ascii="宋体" w:cs="宋体" w:hAnsi="宋体" w:eastAsia="宋体"/>
          <w:color w:val="ff0000"/>
          <w:sz w:val="24"/>
          <w:szCs w:val="24"/>
          <w:u w:color="ff0000"/>
        </w:rPr>
      </w:pPr>
      <w:r>
        <w:rPr>
          <w:rFonts w:eastAsia="宋体" w:hint="eastAsia"/>
          <w:color w:val="ff0000"/>
          <w:sz w:val="24"/>
          <w:szCs w:val="24"/>
          <w:u w:color="ff0000"/>
          <w:rtl w:val="0"/>
          <w:lang w:val="zh-TW" w:eastAsia="zh-TW"/>
        </w:rPr>
        <w:t>注：</w:t>
      </w:r>
      <w:r>
        <w:rPr>
          <w:rFonts w:ascii="宋体"/>
          <w:color w:val="ff0000"/>
          <w:sz w:val="24"/>
          <w:szCs w:val="24"/>
          <w:u w:color="ff0000"/>
          <w:rtl w:val="0"/>
          <w:lang w:val="en-US"/>
        </w:rPr>
        <w:t>1</w:t>
      </w:r>
      <w:r>
        <w:rPr>
          <w:rFonts w:eastAsia="宋体" w:hint="eastAsia"/>
          <w:color w:val="ff0000"/>
          <w:sz w:val="24"/>
          <w:szCs w:val="24"/>
          <w:u w:color="ff0000"/>
          <w:rtl w:val="0"/>
          <w:lang w:val="zh-TW" w:eastAsia="zh-TW"/>
        </w:rPr>
        <w:t>、任何供货商的合同必须包含并符合上述内容。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ind w:firstLine="472"/>
      </w:pPr>
      <w:r>
        <w:rPr>
          <w:rFonts w:ascii="宋体"/>
          <w:color w:val="ff0000"/>
          <w:sz w:val="24"/>
          <w:szCs w:val="24"/>
          <w:u w:color="ff0000"/>
          <w:rtl w:val="0"/>
          <w:lang w:val="en-US"/>
        </w:rPr>
        <w:t>2</w:t>
      </w:r>
      <w:r>
        <w:rPr>
          <w:rFonts w:eastAsia="宋体" w:hint="eastAsia"/>
          <w:color w:val="ff0000"/>
          <w:sz w:val="24"/>
          <w:szCs w:val="24"/>
          <w:u w:color="ff0000"/>
          <w:rtl w:val="0"/>
          <w:lang w:val="zh-TW" w:eastAsia="zh-TW"/>
        </w:rPr>
        <w:t>、合同确认无误后先由供货商签字盖章，然后由本项目负责人签字，再由院系负责人（已上报的授权签字负责人）签字并盖院系公章后，到资产管理处审核后盖学校合同章。</w:t>
      </w:r>
    </w:p>
    <w:sectPr>
      <w:headerReference w:type="default" r:id="rId4"/>
      <w:footerReference w:type="default" r:id="rId5"/>
      <w:pgSz w:w="11906" w:h="16838" w:orient="portrait"/>
      <w:pgMar w:top="1298" w:right="1134" w:bottom="1657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ideographDigital"/>
      <w:suff w:val="tab"/>
      <w:lvlText w:val="%1."/>
      <w:lvlJc w:val="left"/>
      <w:pPr>
        <w:tabs>
          <w:tab w:val="num" w:pos="990"/>
          <w:tab w:val="clear" w:pos="0"/>
        </w:tabs>
        <w:ind w:left="990" w:hanging="99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1">
      <w:start w:val="1"/>
      <w:numFmt w:val="decimal"/>
      <w:suff w:val="tab"/>
      <w:lvlText w:val="%2."/>
      <w:lvlJc w:val="left"/>
      <w:pPr>
        <w:tabs>
          <w:tab w:val="num" w:pos="1140"/>
          <w:tab w:val="clear" w:pos="0"/>
        </w:tabs>
        <w:ind w:left="1140" w:hanging="7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2">
      <w:start w:val="1"/>
      <w:numFmt w:val="lowerRoman"/>
      <w:suff w:val="tab"/>
      <w:lvlText w:val="%3."/>
      <w:lvlJc w:val="left"/>
      <w:pPr>
        <w:tabs>
          <w:tab w:val="num" w:pos="1260"/>
          <w:tab w:val="clear" w:pos="0"/>
        </w:tabs>
        <w:ind w:left="1260" w:hanging="536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3">
      <w:start w:val="1"/>
      <w:numFmt w:val="decimal"/>
      <w:suff w:val="tab"/>
      <w:lvlText w:val="%4."/>
      <w:lvlJc w:val="left"/>
      <w:pPr>
        <w:tabs>
          <w:tab w:val="num" w:pos="1680"/>
          <w:tab w:val="clear" w:pos="0"/>
        </w:tabs>
        <w:ind w:left="1680" w:hanging="4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4">
      <w:start w:val="1"/>
      <w:numFmt w:val="lowerLetter"/>
      <w:suff w:val="tab"/>
      <w:lvlText w:val="%5)"/>
      <w:lvlJc w:val="left"/>
      <w:pPr>
        <w:tabs>
          <w:tab w:val="num" w:pos="2100"/>
          <w:tab w:val="clear" w:pos="0"/>
        </w:tabs>
        <w:ind w:left="2100" w:hanging="4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5">
      <w:start w:val="1"/>
      <w:numFmt w:val="lowerRoman"/>
      <w:suff w:val="tab"/>
      <w:lvlText w:val="%6."/>
      <w:lvlJc w:val="left"/>
      <w:pPr>
        <w:tabs>
          <w:tab w:val="num" w:pos="2520"/>
          <w:tab w:val="clear" w:pos="0"/>
        </w:tabs>
        <w:ind w:left="2520" w:hanging="536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6">
      <w:start w:val="1"/>
      <w:numFmt w:val="decimal"/>
      <w:suff w:val="tab"/>
      <w:lvlText w:val="%7."/>
      <w:lvlJc w:val="left"/>
      <w:pPr>
        <w:tabs>
          <w:tab w:val="num" w:pos="2940"/>
          <w:tab w:val="clear" w:pos="0"/>
        </w:tabs>
        <w:ind w:left="2940" w:hanging="4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7">
      <w:start w:val="1"/>
      <w:numFmt w:val="lowerLetter"/>
      <w:suff w:val="tab"/>
      <w:lvlText w:val="%8)"/>
      <w:lvlJc w:val="left"/>
      <w:pPr>
        <w:tabs>
          <w:tab w:val="num" w:pos="3360"/>
          <w:tab w:val="clear" w:pos="0"/>
        </w:tabs>
        <w:ind w:left="3360" w:hanging="4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8">
      <w:start w:val="1"/>
      <w:numFmt w:val="lowerRoman"/>
      <w:suff w:val="tab"/>
      <w:lvlText w:val="%9."/>
      <w:lvlJc w:val="left"/>
      <w:pPr>
        <w:tabs>
          <w:tab w:val="num" w:pos="3780"/>
          <w:tab w:val="clear" w:pos="0"/>
        </w:tabs>
        <w:ind w:left="3780" w:hanging="536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</w:abstractNum>
  <w:abstractNum w:abstractNumId="1">
    <w:multiLevelType w:val="multilevel"/>
    <w:lvl w:ilvl="0">
      <w:start w:val="1"/>
      <w:numFmt w:val="ideographDigital"/>
      <w:suff w:val="tab"/>
      <w:lvlText w:val="%1."/>
      <w:lvlJc w:val="left"/>
      <w:pPr/>
      <w:rPr>
        <w:position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</w:rPr>
    </w:lvl>
    <w:lvl w:ilvl="2">
      <w:start w:val="1"/>
      <w:numFmt w:val="lowerRoman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)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)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ideographDigital"/>
      <w:suff w:val="tab"/>
      <w:lvlText w:val="%1."/>
      <w:lvlJc w:val="left"/>
      <w:pPr>
        <w:tabs>
          <w:tab w:val="num" w:pos="990"/>
          <w:tab w:val="clear" w:pos="0"/>
        </w:tabs>
        <w:ind w:left="990" w:hanging="99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1">
      <w:start w:val="1"/>
      <w:numFmt w:val="decimal"/>
      <w:suff w:val="tab"/>
      <w:lvlText w:val="%2."/>
      <w:lvlJc w:val="left"/>
      <w:pPr>
        <w:tabs>
          <w:tab w:val="num" w:pos="1140"/>
          <w:tab w:val="clear" w:pos="0"/>
        </w:tabs>
        <w:ind w:left="1140" w:hanging="7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2">
      <w:start w:val="1"/>
      <w:numFmt w:val="lowerRoman"/>
      <w:suff w:val="tab"/>
      <w:lvlText w:val="%3."/>
      <w:lvlJc w:val="left"/>
      <w:pPr>
        <w:tabs>
          <w:tab w:val="num" w:pos="1260"/>
          <w:tab w:val="clear" w:pos="0"/>
        </w:tabs>
        <w:ind w:left="1260" w:hanging="536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3">
      <w:start w:val="1"/>
      <w:numFmt w:val="decimal"/>
      <w:suff w:val="tab"/>
      <w:lvlText w:val="%4."/>
      <w:lvlJc w:val="left"/>
      <w:pPr>
        <w:tabs>
          <w:tab w:val="num" w:pos="1680"/>
          <w:tab w:val="clear" w:pos="0"/>
        </w:tabs>
        <w:ind w:left="1680" w:hanging="4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4">
      <w:start w:val="1"/>
      <w:numFmt w:val="lowerLetter"/>
      <w:suff w:val="tab"/>
      <w:lvlText w:val="%5)"/>
      <w:lvlJc w:val="left"/>
      <w:pPr>
        <w:tabs>
          <w:tab w:val="num" w:pos="2100"/>
          <w:tab w:val="clear" w:pos="0"/>
        </w:tabs>
        <w:ind w:left="2100" w:hanging="4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5">
      <w:start w:val="1"/>
      <w:numFmt w:val="lowerRoman"/>
      <w:suff w:val="tab"/>
      <w:lvlText w:val="%6."/>
      <w:lvlJc w:val="left"/>
      <w:pPr>
        <w:tabs>
          <w:tab w:val="num" w:pos="2520"/>
          <w:tab w:val="clear" w:pos="0"/>
        </w:tabs>
        <w:ind w:left="2520" w:hanging="536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6">
      <w:start w:val="1"/>
      <w:numFmt w:val="decimal"/>
      <w:suff w:val="tab"/>
      <w:lvlText w:val="%7."/>
      <w:lvlJc w:val="left"/>
      <w:pPr>
        <w:tabs>
          <w:tab w:val="num" w:pos="2940"/>
          <w:tab w:val="clear" w:pos="0"/>
        </w:tabs>
        <w:ind w:left="2940" w:hanging="4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7">
      <w:start w:val="1"/>
      <w:numFmt w:val="lowerLetter"/>
      <w:suff w:val="tab"/>
      <w:lvlText w:val="%8)"/>
      <w:lvlJc w:val="left"/>
      <w:pPr>
        <w:tabs>
          <w:tab w:val="num" w:pos="3360"/>
          <w:tab w:val="clear" w:pos="0"/>
        </w:tabs>
        <w:ind w:left="3360" w:hanging="4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8">
      <w:start w:val="1"/>
      <w:numFmt w:val="lowerRoman"/>
      <w:suff w:val="tab"/>
      <w:lvlText w:val="%9."/>
      <w:lvlJc w:val="left"/>
      <w:pPr>
        <w:tabs>
          <w:tab w:val="num" w:pos="3780"/>
          <w:tab w:val="clear" w:pos="0"/>
        </w:tabs>
        <w:ind w:left="3780" w:hanging="536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</w:abstractNum>
  <w:abstractNum w:abstractNumId="3">
    <w:multiLevelType w:val="multilevel"/>
    <w:styleLink w:val="List 0"/>
    <w:lvl w:ilvl="0">
      <w:start w:val="0"/>
      <w:numFmt w:val="ideographDigital"/>
      <w:suff w:val="tab"/>
      <w:lvlText w:val="%1."/>
      <w:lvlJc w:val="left"/>
      <w:pPr>
        <w:tabs>
          <w:tab w:val="num" w:pos="990"/>
          <w:tab w:val="clear" w:pos="0"/>
        </w:tabs>
        <w:ind w:left="990" w:hanging="990"/>
      </w:pPr>
      <w:rPr>
        <w:rFonts w:ascii="宋体" w:cs="宋体" w:hAnsi="宋体" w:eastAsia="宋体"/>
        <w:position w:val="0"/>
        <w:sz w:val="24"/>
        <w:szCs w:val="24"/>
      </w:rPr>
    </w:lvl>
    <w:lvl w:ilvl="1">
      <w:start w:val="1"/>
      <w:numFmt w:val="decimal"/>
      <w:suff w:val="tab"/>
      <w:lvlText w:val="%2."/>
      <w:lvlJc w:val="left"/>
      <w:pPr>
        <w:tabs>
          <w:tab w:val="num" w:pos="1140"/>
          <w:tab w:val="clear" w:pos="0"/>
        </w:tabs>
        <w:ind w:left="1140" w:hanging="720"/>
      </w:pPr>
      <w:rPr>
        <w:rFonts w:ascii="宋体" w:cs="宋体" w:hAnsi="宋体" w:eastAsia="宋体"/>
        <w:position w:val="0"/>
        <w:sz w:val="24"/>
        <w:szCs w:val="24"/>
      </w:rPr>
    </w:lvl>
    <w:lvl w:ilvl="2">
      <w:start w:val="1"/>
      <w:numFmt w:val="lowerRoman"/>
      <w:suff w:val="tab"/>
      <w:lvlText w:val="%3."/>
      <w:lvlJc w:val="left"/>
      <w:pPr>
        <w:tabs>
          <w:tab w:val="num" w:pos="1260"/>
          <w:tab w:val="clear" w:pos="0"/>
        </w:tabs>
        <w:ind w:left="1260" w:hanging="536"/>
      </w:pPr>
      <w:rPr>
        <w:rFonts w:ascii="宋体" w:cs="宋体" w:hAnsi="宋体" w:eastAsia="宋体"/>
        <w:position w:val="0"/>
        <w:sz w:val="24"/>
        <w:szCs w:val="24"/>
      </w:rPr>
    </w:lvl>
    <w:lvl w:ilvl="3">
      <w:start w:val="1"/>
      <w:numFmt w:val="decimal"/>
      <w:suff w:val="tab"/>
      <w:lvlText w:val="%4."/>
      <w:lvlJc w:val="left"/>
      <w:pPr>
        <w:tabs>
          <w:tab w:val="num" w:pos="1680"/>
          <w:tab w:val="clear" w:pos="0"/>
        </w:tabs>
        <w:ind w:left="1680" w:hanging="420"/>
      </w:pPr>
      <w:rPr>
        <w:rFonts w:ascii="宋体" w:cs="宋体" w:hAnsi="宋体" w:eastAsia="宋体"/>
        <w:position w:val="0"/>
        <w:sz w:val="24"/>
        <w:szCs w:val="24"/>
      </w:rPr>
    </w:lvl>
    <w:lvl w:ilvl="4">
      <w:start w:val="1"/>
      <w:numFmt w:val="lowerLetter"/>
      <w:suff w:val="tab"/>
      <w:lvlText w:val="%5)"/>
      <w:lvlJc w:val="left"/>
      <w:pPr>
        <w:tabs>
          <w:tab w:val="num" w:pos="2100"/>
          <w:tab w:val="clear" w:pos="0"/>
        </w:tabs>
        <w:ind w:left="2100" w:hanging="420"/>
      </w:pPr>
      <w:rPr>
        <w:rFonts w:ascii="宋体" w:cs="宋体" w:hAnsi="宋体" w:eastAsia="宋体"/>
        <w:position w:val="0"/>
        <w:sz w:val="24"/>
        <w:szCs w:val="24"/>
      </w:rPr>
    </w:lvl>
    <w:lvl w:ilvl="5">
      <w:start w:val="1"/>
      <w:numFmt w:val="lowerRoman"/>
      <w:suff w:val="tab"/>
      <w:lvlText w:val="%6."/>
      <w:lvlJc w:val="left"/>
      <w:pPr>
        <w:tabs>
          <w:tab w:val="num" w:pos="2520"/>
          <w:tab w:val="clear" w:pos="0"/>
        </w:tabs>
        <w:ind w:left="2520" w:hanging="536"/>
      </w:pPr>
      <w:rPr>
        <w:rFonts w:ascii="宋体" w:cs="宋体" w:hAnsi="宋体" w:eastAsia="宋体"/>
        <w:position w:val="0"/>
        <w:sz w:val="24"/>
        <w:szCs w:val="24"/>
      </w:rPr>
    </w:lvl>
    <w:lvl w:ilvl="6">
      <w:start w:val="1"/>
      <w:numFmt w:val="decimal"/>
      <w:suff w:val="tab"/>
      <w:lvlText w:val="%7."/>
      <w:lvlJc w:val="left"/>
      <w:pPr>
        <w:tabs>
          <w:tab w:val="num" w:pos="2940"/>
          <w:tab w:val="clear" w:pos="0"/>
        </w:tabs>
        <w:ind w:left="2940" w:hanging="420"/>
      </w:pPr>
      <w:rPr>
        <w:rFonts w:ascii="宋体" w:cs="宋体" w:hAnsi="宋体" w:eastAsia="宋体"/>
        <w:position w:val="0"/>
        <w:sz w:val="24"/>
        <w:szCs w:val="24"/>
      </w:rPr>
    </w:lvl>
    <w:lvl w:ilvl="7">
      <w:start w:val="1"/>
      <w:numFmt w:val="lowerLetter"/>
      <w:suff w:val="tab"/>
      <w:lvlText w:val="%8)"/>
      <w:lvlJc w:val="left"/>
      <w:pPr>
        <w:tabs>
          <w:tab w:val="num" w:pos="3360"/>
          <w:tab w:val="clear" w:pos="0"/>
        </w:tabs>
        <w:ind w:left="3360" w:hanging="420"/>
      </w:pPr>
      <w:rPr>
        <w:rFonts w:ascii="宋体" w:cs="宋体" w:hAnsi="宋体" w:eastAsia="宋体"/>
        <w:position w:val="0"/>
        <w:sz w:val="24"/>
        <w:szCs w:val="24"/>
      </w:rPr>
    </w:lvl>
    <w:lvl w:ilvl="8">
      <w:start w:val="1"/>
      <w:numFmt w:val="lowerRoman"/>
      <w:suff w:val="tab"/>
      <w:lvlText w:val="%9."/>
      <w:lvlJc w:val="left"/>
      <w:pPr>
        <w:tabs>
          <w:tab w:val="num" w:pos="3780"/>
          <w:tab w:val="clear" w:pos="0"/>
        </w:tabs>
        <w:ind w:left="3780" w:hanging="536"/>
      </w:pPr>
      <w:rPr>
        <w:rFonts w:ascii="宋体" w:cs="宋体" w:hAnsi="宋体" w:eastAsia="宋体"/>
        <w:position w:val="0"/>
        <w:sz w:val="24"/>
        <w:szCs w:val="24"/>
      </w:rPr>
    </w:lvl>
  </w:abstractNum>
  <w:abstractNum w:abstractNumId="4">
    <w:multiLevelType w:val="multilevel"/>
    <w:styleLink w:val="List 0"/>
    <w:lvl w:ilvl="0">
      <w:start w:val="2"/>
      <w:numFmt w:val="ideographDigital"/>
      <w:suff w:val="tab"/>
      <w:lvlText w:val="%1."/>
      <w:lvlJc w:val="left"/>
      <w:pPr>
        <w:tabs>
          <w:tab w:val="num" w:pos="990"/>
          <w:tab w:val="clear" w:pos="0"/>
        </w:tabs>
        <w:ind w:left="990" w:hanging="99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1">
      <w:start w:val="1"/>
      <w:numFmt w:val="decimal"/>
      <w:suff w:val="tab"/>
      <w:lvlText w:val="%2."/>
      <w:lvlJc w:val="left"/>
      <w:pPr>
        <w:tabs>
          <w:tab w:val="num" w:pos="1140"/>
          <w:tab w:val="clear" w:pos="0"/>
        </w:tabs>
        <w:ind w:left="1140" w:hanging="7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2">
      <w:start w:val="1"/>
      <w:numFmt w:val="lowerRoman"/>
      <w:suff w:val="tab"/>
      <w:lvlText w:val="%3."/>
      <w:lvlJc w:val="left"/>
      <w:pPr>
        <w:tabs>
          <w:tab w:val="num" w:pos="1260"/>
          <w:tab w:val="clear" w:pos="0"/>
        </w:tabs>
        <w:ind w:left="1260" w:hanging="536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3">
      <w:start w:val="1"/>
      <w:numFmt w:val="decimal"/>
      <w:suff w:val="tab"/>
      <w:lvlText w:val="%4."/>
      <w:lvlJc w:val="left"/>
      <w:pPr>
        <w:tabs>
          <w:tab w:val="num" w:pos="1680"/>
          <w:tab w:val="clear" w:pos="0"/>
        </w:tabs>
        <w:ind w:left="1680" w:hanging="4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4">
      <w:start w:val="1"/>
      <w:numFmt w:val="lowerLetter"/>
      <w:suff w:val="tab"/>
      <w:lvlText w:val="%5)"/>
      <w:lvlJc w:val="left"/>
      <w:pPr>
        <w:tabs>
          <w:tab w:val="num" w:pos="2100"/>
          <w:tab w:val="clear" w:pos="0"/>
        </w:tabs>
        <w:ind w:left="2100" w:hanging="4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5">
      <w:start w:val="1"/>
      <w:numFmt w:val="lowerRoman"/>
      <w:suff w:val="tab"/>
      <w:lvlText w:val="%6."/>
      <w:lvlJc w:val="left"/>
      <w:pPr>
        <w:tabs>
          <w:tab w:val="num" w:pos="2520"/>
          <w:tab w:val="clear" w:pos="0"/>
        </w:tabs>
        <w:ind w:left="2520" w:hanging="536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6">
      <w:start w:val="1"/>
      <w:numFmt w:val="decimal"/>
      <w:suff w:val="tab"/>
      <w:lvlText w:val="%7."/>
      <w:lvlJc w:val="left"/>
      <w:pPr>
        <w:tabs>
          <w:tab w:val="num" w:pos="2940"/>
          <w:tab w:val="clear" w:pos="0"/>
        </w:tabs>
        <w:ind w:left="2940" w:hanging="4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7">
      <w:start w:val="1"/>
      <w:numFmt w:val="lowerLetter"/>
      <w:suff w:val="tab"/>
      <w:lvlText w:val="%8)"/>
      <w:lvlJc w:val="left"/>
      <w:pPr>
        <w:tabs>
          <w:tab w:val="num" w:pos="3360"/>
          <w:tab w:val="clear" w:pos="0"/>
        </w:tabs>
        <w:ind w:left="3360" w:hanging="420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  <w:lvl w:ilvl="8">
      <w:start w:val="1"/>
      <w:numFmt w:val="lowerRoman"/>
      <w:suff w:val="tab"/>
      <w:lvlText w:val="%9."/>
      <w:lvlJc w:val="left"/>
      <w:pPr>
        <w:tabs>
          <w:tab w:val="num" w:pos="3780"/>
          <w:tab w:val="clear" w:pos="0"/>
        </w:tabs>
        <w:ind w:left="3780" w:hanging="536"/>
      </w:pPr>
      <w:rPr>
        <w:rFonts w:ascii="宋体" w:cs="宋体" w:hAnsi="宋体" w:eastAsia="宋体"/>
        <w:position w:val="0"/>
        <w:sz w:val="24"/>
        <w:szCs w:val="24"/>
        <w:lang w:val="zh-TW" w:eastAsia="zh-TW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 1">
    <w:name w:val="heading 1"/>
    <w:next w:val="Normal"/>
    <w:pPr>
      <w:keepNext w:val="1"/>
      <w:keepLines w:val="1"/>
      <w:pageBreakBefore w:val="0"/>
      <w:widowControl w:val="0"/>
      <w:shd w:val="clear" w:color="auto" w:fill="auto"/>
      <w:suppressAutoHyphens w:val="0"/>
      <w:bidi w:val="0"/>
      <w:spacing w:before="340" w:after="330" w:line="578" w:lineRule="auto"/>
      <w:ind w:left="0" w:right="0" w:firstLine="0"/>
      <w:jc w:val="both"/>
      <w:outlineLvl w:val="0"/>
    </w:pPr>
    <w:rPr>
      <w:rFonts w:ascii="Calibri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44"/>
      <w:position w:val="0"/>
      <w:sz w:val="21"/>
      <w:szCs w:val="21"/>
      <w:u w:val="none" w:color="000000"/>
      <w:vertAlign w:val="baseline"/>
      <w:lang w:val="en-US"/>
    </w:rPr>
  </w:style>
  <w:style w:type="numbering" w:styleId="List 0">
    <w:name w:val="List 0"/>
    <w:basedOn w:val="已导入的样式“4”"/>
    <w:next w:val="List 0"/>
    <w:pPr>
      <w:numPr>
        <w:numId w:val="1"/>
      </w:numPr>
    </w:pPr>
  </w:style>
  <w:style w:type="numbering" w:styleId="已导入的样式“4”">
    <w:name w:val="已导入的样式“4”"/>
    <w:next w:val="已导入的样式“4”"/>
    <w:pPr>
      <w:numPr>
        <w:numId w:val="2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