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ascii="宋体"/>
          <w:sz w:val="28"/>
          <w:szCs w:val="28"/>
          <w:rtl w:val="0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-291465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17.3pt;margin-top:-23.0pt;width:49.5pt;height:22.4pt;z-index:251659264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2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3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2"/>
          <w:szCs w:val="32"/>
          <w:rtl w:val="0"/>
          <w:lang w:val="zh-TW" w:eastAsia="zh-TW"/>
        </w:rPr>
      </w:pPr>
      <w:bookmarkStart w:name="科学性论证报告" w:id="0"/>
      <w:r>
        <w:rPr>
          <w:rFonts w:eastAsia="宋体" w:hint="eastAsia"/>
          <w:b w:val="0"/>
          <w:bCs w:val="0"/>
          <w:sz w:val="32"/>
          <w:szCs w:val="32"/>
          <w:rtl w:val="0"/>
          <w:lang w:val="zh-TW" w:eastAsia="zh-TW"/>
        </w:rPr>
        <w:t>科学性论证报告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仿宋" w:cs="仿宋" w:hAnsi="仿宋" w:eastAsia="仿宋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2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076"/>
        <w:gridCol w:w="6446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2494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二、项目概况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93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三、购置理由（拟购仪器设备的必要性、迫切性与可行性）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217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四、同类仪器在校内、国内或国际上的分布与使用情况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250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五、选型的科学依据（主要技术指标及功能的先进性及实用性；所选设备不同生产厂家在性价比、售后服务等方面的比较）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209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六、拟购仪器设备所需基础条件落实情况（如房屋场地、水、电、燃气、网络等）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95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七、预期使用效益（年机时利用率、人员培养、可能产生的成果等）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725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八、招投标计划与建议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仿宋" w:cs="仿宋" w:hAnsi="仿宋" w:eastAsia="仿宋"/>
          <w:sz w:val="28"/>
          <w:szCs w:val="28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仿宋" w:cs="仿宋" w:hAnsi="仿宋" w:eastAsia="仿宋"/>
          <w:sz w:val="28"/>
          <w:szCs w:val="28"/>
        </w:rPr>
        <w:br w:type="page"/>
      </w:r>
    </w:p>
    <w:p>
      <w:pPr>
        <w:pStyle w:val="Normal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仿宋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  <w:style w:type="paragraph" w:styleId="Body Text 2">
    <w:name w:val="Body Text 2"/>
    <w:next w:val="Body Text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480" w:lineRule="exact"/>
      <w:ind w:left="0" w:right="0" w:firstLine="0"/>
      <w:jc w:val="both"/>
      <w:outlineLvl w:val="9"/>
    </w:pPr>
    <w:rPr>
      <w:rFonts w:ascii="Arial Unicode MS" w:cs="Arial Unicode MS" w:hAnsi="Arial Unicode MS" w:eastAsia="宋体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